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29" w:rsidRDefault="005B3929" w:rsidP="005B3929">
      <w:pPr>
        <w:pStyle w:val="PlainText"/>
        <w:jc w:val="center"/>
      </w:pPr>
      <w:r>
        <w:t>Intoxication Reporting Requirements</w:t>
      </w:r>
    </w:p>
    <w:p w:rsidR="005B3929" w:rsidRDefault="005B3929" w:rsidP="005B3929">
      <w:pPr>
        <w:pStyle w:val="PlainText"/>
      </w:pPr>
    </w:p>
    <w:p w:rsidR="005B3929" w:rsidRDefault="005B3929" w:rsidP="005B3929">
      <w:pPr>
        <w:pStyle w:val="PlainText"/>
      </w:pPr>
      <w:r>
        <w:t>479.172.  Intoxication-related traffic offenses, municipal judges to receive adequate instruction — written policy on timely disposition of cases — report required. — 1.  Each municipal judge shall receive adequate instruction on the laws related to intoxication-related traffic offenses as defined in section 577.001 including jurisdictional issues related to such offenses, reporting requirements to the highw</w:t>
      </w:r>
      <w:bookmarkStart w:id="0" w:name="_GoBack"/>
      <w:bookmarkEnd w:id="0"/>
      <w:r>
        <w:t>ay patrol central repository as set out in section 43.503 and required assessment for offenders under the substance abuse traffic offender program (SATOP).  Each municipal judge shall adopt a written policy requiring that municipal court personnel timely report all dispositions of all charges for intoxication-related traffic offenses to the central repository.</w:t>
      </w:r>
    </w:p>
    <w:p w:rsidR="005B3929" w:rsidRDefault="005B3929" w:rsidP="005B3929">
      <w:pPr>
        <w:pStyle w:val="PlainText"/>
      </w:pPr>
    </w:p>
    <w:p w:rsidR="005B3929" w:rsidRDefault="005B3929" w:rsidP="005B3929">
      <w:pPr>
        <w:pStyle w:val="PlainText"/>
      </w:pPr>
      <w:r>
        <w:t> </w:t>
      </w:r>
      <w:r>
        <w:t xml:space="preserve"> 2.  Each municipal court shall provide a copy of its written policy for reporting dispositions of intoxication-related traffic offenses to the office of state courts administrator and the highway patrol.  To assist municipal courts, the office of state courts administrator may create a model policy for the reporting of dispositions of all charges for intoxication-related traffic offenses.</w:t>
      </w:r>
    </w:p>
    <w:p w:rsidR="005B3929" w:rsidRDefault="005B3929" w:rsidP="005B3929">
      <w:pPr>
        <w:pStyle w:val="PlainText"/>
      </w:pPr>
    </w:p>
    <w:p w:rsidR="005B3929" w:rsidRDefault="005B3929" w:rsidP="005B3929">
      <w:pPr>
        <w:pStyle w:val="PlainText"/>
      </w:pPr>
      <w:r>
        <w:t> </w:t>
      </w:r>
      <w:r>
        <w:t xml:space="preserve"> 3.  Each municipal division of every circuit court in the state of Missouri shall prepare a report every six months.  The report shall include, but shall not be limited to, the total number and disposition of every intoxication-related traffic offense adjudicated, dismissed or pending in its municipal court division.  The municipal court division shall submit said report to the circuit court </w:t>
      </w:r>
      <w:proofErr w:type="spellStart"/>
      <w:r>
        <w:t>en</w:t>
      </w:r>
      <w:proofErr w:type="spellEnd"/>
      <w:r>
        <w:t xml:space="preserve"> banc.  The report shall include the six-month period beginning January first and ending June thirtieth and the six-month period beginning July first and ending December thirty-first of each year.  The report shall be submitted to the circuit court </w:t>
      </w:r>
      <w:proofErr w:type="spellStart"/>
      <w:r>
        <w:t>en</w:t>
      </w:r>
      <w:proofErr w:type="spellEnd"/>
      <w:r>
        <w:t xml:space="preserve"> banc no later than sixty days following the end of the reporting period.  The circuit court </w:t>
      </w:r>
      <w:proofErr w:type="spellStart"/>
      <w:r>
        <w:t>en</w:t>
      </w:r>
      <w:proofErr w:type="spellEnd"/>
      <w:r>
        <w:t xml:space="preserve"> banc shall make recommendations or take any action it deems appropriate based on its review of said reports.</w:t>
      </w:r>
    </w:p>
    <w:p w:rsidR="00A84CAE" w:rsidRDefault="00A84CAE"/>
    <w:sectPr w:rsidR="00A84C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29"/>
    <w:rsid w:val="00323146"/>
    <w:rsid w:val="005B3929"/>
    <w:rsid w:val="007C6FAF"/>
    <w:rsid w:val="00A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2DB7F"/>
  <w15:chartTrackingRefBased/>
  <w15:docId w15:val="{E7F2886A-C9F0-4A6F-B550-4B19805C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B3929"/>
    <w:rPr>
      <w:rFonts w:ascii="Calibri" w:eastAsiaTheme="minorHAnsi" w:hAnsi="Calibri" w:cstheme="minorBid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3929"/>
    <w:rPr>
      <w:rFonts w:ascii="Calibri" w:eastAsiaTheme="minorHAnsi" w:hAnsi="Calibr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Harmison</dc:creator>
  <cp:keywords/>
  <dc:description/>
  <cp:lastModifiedBy>Jean Harmison</cp:lastModifiedBy>
  <cp:revision>1</cp:revision>
  <dcterms:created xsi:type="dcterms:W3CDTF">2017-01-31T21:09:00Z</dcterms:created>
  <dcterms:modified xsi:type="dcterms:W3CDTF">2017-01-31T21:11:00Z</dcterms:modified>
</cp:coreProperties>
</file>